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26934407" w:rsidR="005C1221" w:rsidRPr="008D6886" w:rsidRDefault="004D3F43" w:rsidP="005C1221">
      <w:pPr>
        <w:jc w:val="left"/>
        <w:rPr>
          <w:b/>
          <w:kern w:val="2"/>
          <w:sz w:val="24"/>
          <w:szCs w:val="24"/>
          <w:lang w:eastAsia="zh-CN"/>
        </w:rPr>
      </w:pPr>
      <w:r w:rsidRPr="008D6886">
        <w:rPr>
          <w:b/>
          <w:kern w:val="2"/>
          <w:sz w:val="24"/>
          <w:szCs w:val="24"/>
          <w:lang w:eastAsia="zh-CN"/>
        </w:rPr>
        <w:t>3GPP TSG RAN Meeting #9</w:t>
      </w:r>
      <w:r w:rsidR="009A0081">
        <w:rPr>
          <w:b/>
          <w:kern w:val="2"/>
          <w:sz w:val="24"/>
          <w:szCs w:val="24"/>
          <w:lang w:eastAsia="zh-CN"/>
        </w:rPr>
        <w:t>9</w:t>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5C1221" w:rsidRPr="008D6886">
        <w:rPr>
          <w:b/>
          <w:kern w:val="2"/>
          <w:sz w:val="24"/>
          <w:szCs w:val="24"/>
          <w:lang w:eastAsia="zh-CN"/>
        </w:rPr>
        <w:tab/>
      </w:r>
      <w:r w:rsidR="00446264" w:rsidRPr="00446264">
        <w:rPr>
          <w:b/>
          <w:kern w:val="2"/>
          <w:sz w:val="24"/>
          <w:szCs w:val="24"/>
          <w:lang w:eastAsia="zh-CN"/>
        </w:rPr>
        <w:t>RP-230567</w:t>
      </w:r>
    </w:p>
    <w:p w14:paraId="0E0AA466" w14:textId="50840EFF" w:rsidR="005C1221" w:rsidRPr="008D6886" w:rsidRDefault="009A0081" w:rsidP="00C27C45">
      <w:pPr>
        <w:jc w:val="left"/>
        <w:rPr>
          <w:b/>
        </w:rPr>
      </w:pPr>
      <w:r>
        <w:rPr>
          <w:b/>
          <w:sz w:val="24"/>
        </w:rPr>
        <w:t>Rotterdam, Netherlands</w:t>
      </w:r>
      <w:r w:rsidR="005C1221" w:rsidRPr="008D6886">
        <w:rPr>
          <w:b/>
          <w:kern w:val="2"/>
          <w:sz w:val="24"/>
          <w:szCs w:val="24"/>
          <w:lang w:eastAsia="zh-CN"/>
        </w:rPr>
        <w:t xml:space="preserve">, </w:t>
      </w:r>
      <w:r>
        <w:rPr>
          <w:b/>
          <w:kern w:val="2"/>
          <w:sz w:val="24"/>
          <w:szCs w:val="24"/>
          <w:lang w:eastAsia="zh-CN"/>
        </w:rPr>
        <w:t>March 20-24</w:t>
      </w:r>
      <w:r w:rsidR="005C1221" w:rsidRPr="008D6886">
        <w:rPr>
          <w:b/>
          <w:kern w:val="2"/>
          <w:sz w:val="24"/>
          <w:szCs w:val="24"/>
          <w:lang w:eastAsia="zh-CN"/>
        </w:rPr>
        <w:t>, 2022</w:t>
      </w:r>
    </w:p>
    <w:p w14:paraId="6C11792B" w14:textId="77777777" w:rsidR="009C0564" w:rsidRPr="008D6886" w:rsidRDefault="009C0564" w:rsidP="00CF195E">
      <w:pPr>
        <w:pBdr>
          <w:top w:val="single" w:sz="4" w:space="1" w:color="auto"/>
        </w:pBdr>
        <w:spacing w:after="0"/>
        <w:jc w:val="left"/>
        <w:rPr>
          <w:b/>
          <w:kern w:val="2"/>
          <w:sz w:val="16"/>
          <w:szCs w:val="16"/>
          <w:lang w:eastAsia="zh-CN"/>
        </w:rPr>
      </w:pPr>
    </w:p>
    <w:p w14:paraId="75625403" w14:textId="65CD39D9" w:rsidR="009C0564" w:rsidRPr="008D6886" w:rsidRDefault="009C0564" w:rsidP="00CF195E">
      <w:pPr>
        <w:spacing w:after="60"/>
        <w:ind w:left="1555" w:hanging="1555"/>
        <w:jc w:val="left"/>
        <w:rPr>
          <w:b/>
          <w:kern w:val="2"/>
          <w:lang w:eastAsia="zh-CN"/>
        </w:rPr>
      </w:pPr>
      <w:r w:rsidRPr="008D6886">
        <w:rPr>
          <w:b/>
          <w:kern w:val="2"/>
          <w:lang w:eastAsia="zh-CN"/>
        </w:rPr>
        <w:t>Agenda Item:</w:t>
      </w:r>
      <w:r w:rsidR="00F31B49" w:rsidRPr="008D6886">
        <w:rPr>
          <w:b/>
          <w:kern w:val="2"/>
          <w:lang w:eastAsia="zh-CN"/>
        </w:rPr>
        <w:tab/>
      </w:r>
      <w:r w:rsidR="00174BFB" w:rsidRPr="008D6886">
        <w:rPr>
          <w:b/>
          <w:kern w:val="2"/>
          <w:lang w:eastAsia="zh-CN"/>
        </w:rPr>
        <w:t>15</w:t>
      </w:r>
    </w:p>
    <w:p w14:paraId="583DFEC9" w14:textId="68BA9258" w:rsidR="00BC1C3C" w:rsidRPr="008D6886" w:rsidRDefault="00305FF9" w:rsidP="00CF195E">
      <w:pPr>
        <w:spacing w:after="60"/>
        <w:ind w:left="1555" w:hanging="1555"/>
        <w:jc w:val="left"/>
        <w:rPr>
          <w:b/>
          <w:kern w:val="2"/>
          <w:lang w:eastAsia="zh-CN"/>
        </w:rPr>
      </w:pPr>
      <w:r w:rsidRPr="008D6886">
        <w:rPr>
          <w:b/>
          <w:kern w:val="2"/>
          <w:lang w:eastAsia="zh-CN"/>
        </w:rPr>
        <w:t>Source:</w:t>
      </w:r>
      <w:r w:rsidRPr="008D6886">
        <w:rPr>
          <w:b/>
          <w:kern w:val="2"/>
          <w:lang w:eastAsia="zh-CN"/>
        </w:rPr>
        <w:tab/>
      </w:r>
      <w:r w:rsidR="009C0564" w:rsidRPr="008D6886">
        <w:rPr>
          <w:b/>
          <w:kern w:val="2"/>
          <w:lang w:eastAsia="zh-CN"/>
        </w:rPr>
        <w:t>Huawei</w:t>
      </w:r>
      <w:r w:rsidR="00FE1056" w:rsidRPr="008D6886">
        <w:rPr>
          <w:b/>
          <w:kern w:val="2"/>
          <w:lang w:eastAsia="zh-CN"/>
        </w:rPr>
        <w:t xml:space="preserve">, </w:t>
      </w:r>
      <w:proofErr w:type="spellStart"/>
      <w:r w:rsidR="00FE1056" w:rsidRPr="008D6886">
        <w:rPr>
          <w:b/>
          <w:kern w:val="2"/>
          <w:lang w:eastAsia="zh-CN"/>
        </w:rPr>
        <w:t>HiSilicon</w:t>
      </w:r>
      <w:proofErr w:type="spellEnd"/>
    </w:p>
    <w:p w14:paraId="5D643D0F" w14:textId="200637E1" w:rsidR="00B72CBD" w:rsidRPr="008D6886" w:rsidRDefault="009C0564" w:rsidP="00B72CBD">
      <w:pPr>
        <w:spacing w:after="60"/>
        <w:ind w:left="1555" w:hanging="1555"/>
        <w:jc w:val="left"/>
        <w:rPr>
          <w:b/>
          <w:kern w:val="2"/>
          <w:lang w:eastAsia="zh-CN"/>
        </w:rPr>
      </w:pPr>
      <w:r w:rsidRPr="008D6886">
        <w:rPr>
          <w:b/>
          <w:kern w:val="2"/>
          <w:lang w:eastAsia="zh-CN"/>
        </w:rPr>
        <w:t>Title:</w:t>
      </w:r>
      <w:r w:rsidRPr="008D6886">
        <w:rPr>
          <w:b/>
          <w:kern w:val="2"/>
          <w:lang w:eastAsia="zh-CN"/>
        </w:rPr>
        <w:tab/>
      </w:r>
      <w:r w:rsidR="00D458FC">
        <w:rPr>
          <w:b/>
          <w:kern w:val="2"/>
          <w:lang w:eastAsia="zh-CN"/>
        </w:rPr>
        <w:t>Release 19 timeline</w:t>
      </w:r>
    </w:p>
    <w:p w14:paraId="698752B2" w14:textId="2C4628F2" w:rsidR="009C0564" w:rsidRPr="008D6886" w:rsidRDefault="009C0564" w:rsidP="00CF195E">
      <w:pPr>
        <w:spacing w:after="60"/>
        <w:ind w:left="1555" w:hanging="1555"/>
        <w:jc w:val="left"/>
        <w:rPr>
          <w:b/>
          <w:kern w:val="2"/>
          <w:lang w:eastAsia="zh-CN"/>
        </w:rPr>
      </w:pPr>
      <w:r w:rsidRPr="008D6886">
        <w:rPr>
          <w:b/>
          <w:kern w:val="2"/>
          <w:lang w:eastAsia="zh-CN"/>
        </w:rPr>
        <w:t>Document for:</w:t>
      </w:r>
      <w:r w:rsidRPr="008D6886">
        <w:rPr>
          <w:b/>
          <w:kern w:val="2"/>
          <w:lang w:eastAsia="zh-CN"/>
        </w:rPr>
        <w:tab/>
      </w:r>
      <w:r w:rsidR="001F7121" w:rsidRPr="008D6886">
        <w:rPr>
          <w:b/>
          <w:kern w:val="2"/>
          <w:lang w:eastAsia="zh-CN"/>
        </w:rPr>
        <w:t>Discussion</w:t>
      </w:r>
      <w:r w:rsidR="002D0439" w:rsidRPr="008D6886">
        <w:rPr>
          <w:b/>
          <w:kern w:val="2"/>
          <w:lang w:eastAsia="zh-CN"/>
        </w:rPr>
        <w:t xml:space="preserve"> </w:t>
      </w:r>
    </w:p>
    <w:p w14:paraId="077C663C" w14:textId="77777777" w:rsidR="009C0564" w:rsidRPr="008D6886" w:rsidRDefault="009C0564" w:rsidP="00CF195E">
      <w:pPr>
        <w:pBdr>
          <w:bottom w:val="single" w:sz="4" w:space="1" w:color="auto"/>
        </w:pBdr>
        <w:spacing w:after="0"/>
        <w:jc w:val="left"/>
        <w:rPr>
          <w:b/>
          <w:kern w:val="2"/>
          <w:sz w:val="16"/>
          <w:szCs w:val="16"/>
          <w:lang w:eastAsia="zh-CN"/>
        </w:rPr>
      </w:pPr>
    </w:p>
    <w:p w14:paraId="08ADBF60" w14:textId="6A844C68" w:rsidR="00EF64AA" w:rsidRPr="008D6886" w:rsidRDefault="009C0564" w:rsidP="00EF64AA">
      <w:pPr>
        <w:pStyle w:val="Heading1"/>
      </w:pPr>
      <w:bookmarkStart w:id="0" w:name="_Ref124589705"/>
      <w:bookmarkStart w:id="1" w:name="_Ref129681862"/>
      <w:r w:rsidRPr="008D6886">
        <w:t>Introduction</w:t>
      </w:r>
      <w:bookmarkEnd w:id="0"/>
      <w:bookmarkEnd w:id="1"/>
    </w:p>
    <w:p w14:paraId="5324ED84" w14:textId="612831E6" w:rsidR="006C55C5" w:rsidRPr="00D458FC" w:rsidRDefault="00D458FC" w:rsidP="00E13226">
      <w:pPr>
        <w:rPr>
          <w:lang w:eastAsia="zh-CN"/>
        </w:rPr>
      </w:pPr>
      <w:bookmarkStart w:id="2" w:name="_Ref129681832"/>
      <w:r>
        <w:rPr>
          <w:lang w:eastAsia="zh-CN"/>
        </w:rPr>
        <w:t xml:space="preserve">The timeline for Release 18 was updated at RAN#98e </w:t>
      </w:r>
      <w:r w:rsidR="000A1B4B">
        <w:rPr>
          <w:lang w:eastAsia="zh-CN"/>
        </w:rPr>
        <w:fldChar w:fldCharType="begin"/>
      </w:r>
      <w:r w:rsidR="000A1B4B">
        <w:rPr>
          <w:lang w:eastAsia="zh-CN"/>
        </w:rPr>
        <w:instrText xml:space="preserve"> REF _Ref126142807 \r \h </w:instrText>
      </w:r>
      <w:r w:rsidR="000A1B4B">
        <w:rPr>
          <w:lang w:eastAsia="zh-CN"/>
        </w:rPr>
      </w:r>
      <w:r w:rsidR="000A1B4B">
        <w:rPr>
          <w:lang w:eastAsia="zh-CN"/>
        </w:rPr>
        <w:fldChar w:fldCharType="separate"/>
      </w:r>
      <w:r w:rsidR="000A1B4B">
        <w:rPr>
          <w:lang w:eastAsia="zh-CN"/>
        </w:rPr>
        <w:t>[1]</w:t>
      </w:r>
      <w:r w:rsidR="000A1B4B">
        <w:rPr>
          <w:lang w:eastAsia="zh-CN"/>
        </w:rPr>
        <w:fldChar w:fldCharType="end"/>
      </w:r>
      <w:r>
        <w:rPr>
          <w:lang w:eastAsia="zh-CN"/>
        </w:rPr>
        <w:t xml:space="preserve">, pushing the ASN.1 freeze to June 2024. The approval of the Rel-19 package of study and work items for RAN1, RAN2 and RAN3 is planned for December 2023, while for RAN4 it will be in March 2024. SA, CT and RAN will discuss the Release </w:t>
      </w:r>
      <w:r w:rsidR="00483F07">
        <w:rPr>
          <w:lang w:eastAsia="zh-CN"/>
        </w:rPr>
        <w:t xml:space="preserve">19 </w:t>
      </w:r>
      <w:r>
        <w:rPr>
          <w:lang w:eastAsia="zh-CN"/>
        </w:rPr>
        <w:t>timeline, with a possible decision at TSG#99. This paper provides our views on the Release 19 timeline.</w:t>
      </w:r>
    </w:p>
    <w:p w14:paraId="437DF213" w14:textId="25C1A718" w:rsidR="00D458FC" w:rsidRDefault="00D458FC" w:rsidP="00641BA1">
      <w:pPr>
        <w:pStyle w:val="Heading1"/>
      </w:pPr>
      <w:r>
        <w:rPr>
          <w:rFonts w:hint="eastAsia"/>
        </w:rPr>
        <w:t>R</w:t>
      </w:r>
      <w:r>
        <w:t>e</w:t>
      </w:r>
      <w:r>
        <w:rPr>
          <w:rFonts w:hint="eastAsia"/>
        </w:rPr>
        <w:t xml:space="preserve">view </w:t>
      </w:r>
      <w:r>
        <w:t>of Rel-18 timeline</w:t>
      </w:r>
    </w:p>
    <w:p w14:paraId="6482AA81" w14:textId="1B1E11CC" w:rsidR="00D458FC" w:rsidRDefault="00D458FC" w:rsidP="00D458FC">
      <w:r>
        <w:rPr>
          <w:rFonts w:hint="eastAsia"/>
        </w:rPr>
        <w:t xml:space="preserve">It is customary to </w:t>
      </w:r>
      <w:r>
        <w:t>discuss the release timeline in terms of release duration, typically between 15 and 2</w:t>
      </w:r>
      <w:r w:rsidR="00360876">
        <w:t>1</w:t>
      </w:r>
      <w:r>
        <w:t xml:space="preserve"> months. In recent releases, however, the duration of a release has become more difficult to define even just in RAN, due to the staggered milestones among WGs </w:t>
      </w:r>
      <w:r w:rsidR="00AB5AF3">
        <w:t>(stemming from the RAN#82 agreement in</w:t>
      </w:r>
      <w:r w:rsidR="00AB5AF3" w:rsidRPr="00AB5AF3">
        <w:t xml:space="preserve"> RP-182850</w:t>
      </w:r>
      <w:r w:rsidR="00AB5AF3">
        <w:t xml:space="preserve">) </w:t>
      </w:r>
      <w:r>
        <w:t xml:space="preserve">and the use of a buffer quarter for maintenance </w:t>
      </w:r>
      <w:r w:rsidR="00E62F05">
        <w:t>after</w:t>
      </w:r>
      <w:r>
        <w:t xml:space="preserve"> the functional freeze</w:t>
      </w:r>
      <w:r w:rsidR="00AB5AF3">
        <w:t xml:space="preserve"> (which is not a rule but has been practically used at the end of Rel-16, Rel-17 and now for Rel-18)</w:t>
      </w:r>
      <w:r>
        <w:t>. For Rel-18, we now even have an initial ASN.1 version followed by the official ASN.1 freeze one quarter later, as shown in</w:t>
      </w:r>
      <w:r w:rsidR="00360876">
        <w:t xml:space="preserve"> </w:t>
      </w:r>
      <w:r w:rsidR="00360876">
        <w:fldChar w:fldCharType="begin"/>
      </w:r>
      <w:r w:rsidR="00360876">
        <w:instrText xml:space="preserve"> REF _Ref125879489 \h </w:instrText>
      </w:r>
      <w:r w:rsidR="00360876">
        <w:fldChar w:fldCharType="separate"/>
      </w:r>
      <w:r w:rsidR="00360876">
        <w:t xml:space="preserve">Figure </w:t>
      </w:r>
      <w:r w:rsidR="00360876">
        <w:rPr>
          <w:noProof/>
        </w:rPr>
        <w:t>1</w:t>
      </w:r>
      <w:r w:rsidR="00360876">
        <w:fldChar w:fldCharType="end"/>
      </w:r>
      <w:r>
        <w:t xml:space="preserve">. </w:t>
      </w:r>
    </w:p>
    <w:p w14:paraId="7988C43A" w14:textId="77777777" w:rsidR="00D458FC" w:rsidRDefault="00D458FC" w:rsidP="00D458FC"/>
    <w:p w14:paraId="342E6772" w14:textId="77777777" w:rsidR="00360876" w:rsidRDefault="00D458FC" w:rsidP="00360876">
      <w:pPr>
        <w:keepNext/>
        <w:jc w:val="center"/>
      </w:pPr>
      <w:r>
        <w:rPr>
          <w:noProof/>
          <w:lang w:eastAsia="zh-CN"/>
        </w:rPr>
        <w:drawing>
          <wp:inline distT="0" distB="0" distL="0" distR="0" wp14:anchorId="20411DCF" wp14:editId="7AF0720D">
            <wp:extent cx="5615819" cy="2945699"/>
            <wp:effectExtent l="0" t="0" r="444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0522" cy="2974393"/>
                    </a:xfrm>
                    <a:prstGeom prst="rect">
                      <a:avLst/>
                    </a:prstGeom>
                    <a:noFill/>
                  </pic:spPr>
                </pic:pic>
              </a:graphicData>
            </a:graphic>
          </wp:inline>
        </w:drawing>
      </w:r>
    </w:p>
    <w:p w14:paraId="335335DE" w14:textId="0B268DC6" w:rsidR="00D458FC" w:rsidRDefault="00360876" w:rsidP="00360876">
      <w:pPr>
        <w:pStyle w:val="Caption"/>
      </w:pPr>
      <w:bookmarkStart w:id="3" w:name="_Ref125879489"/>
      <w:bookmarkStart w:id="4" w:name="_Ref125879481"/>
      <w:r>
        <w:t xml:space="preserve">Figure </w:t>
      </w:r>
      <w:r w:rsidR="00496E86">
        <w:rPr>
          <w:noProof/>
        </w:rPr>
        <w:fldChar w:fldCharType="begin"/>
      </w:r>
      <w:r w:rsidR="00496E86">
        <w:rPr>
          <w:noProof/>
        </w:rPr>
        <w:instrText xml:space="preserve"> SEQ Figure \* ARABIC </w:instrText>
      </w:r>
      <w:r w:rsidR="00496E86">
        <w:rPr>
          <w:noProof/>
        </w:rPr>
        <w:fldChar w:fldCharType="separate"/>
      </w:r>
      <w:r w:rsidR="00A368B5">
        <w:rPr>
          <w:noProof/>
        </w:rPr>
        <w:t>1</w:t>
      </w:r>
      <w:r w:rsidR="00496E86">
        <w:rPr>
          <w:noProof/>
        </w:rPr>
        <w:fldChar w:fldCharType="end"/>
      </w:r>
      <w:bookmarkEnd w:id="3"/>
      <w:r>
        <w:t xml:space="preserve"> – Release 18 timeline </w:t>
      </w:r>
      <w:r w:rsidR="000A1B4B">
        <w:fldChar w:fldCharType="begin"/>
      </w:r>
      <w:r w:rsidR="000A1B4B">
        <w:instrText xml:space="preserve"> REF _Ref126142807 \r \h </w:instrText>
      </w:r>
      <w:r w:rsidR="000A1B4B">
        <w:fldChar w:fldCharType="separate"/>
      </w:r>
      <w:r w:rsidR="000A1B4B">
        <w:t>[1]</w:t>
      </w:r>
      <w:r w:rsidR="000A1B4B">
        <w:fldChar w:fldCharType="end"/>
      </w:r>
      <w:bookmarkEnd w:id="4"/>
    </w:p>
    <w:p w14:paraId="0EDCCFD9" w14:textId="77777777" w:rsidR="00D458FC" w:rsidRDefault="00D458FC" w:rsidP="00D458FC"/>
    <w:p w14:paraId="442750C3" w14:textId="3B40D4E5" w:rsidR="00D458FC" w:rsidRDefault="00D458FC" w:rsidP="00D458FC">
      <w:r>
        <w:t>How long each WG works on the core specifications of a new release could be taken as the definition of the release duration, but even that i</w:t>
      </w:r>
      <w:r w:rsidR="00E62F05">
        <w:t>s</w:t>
      </w:r>
      <w:r>
        <w:t xml:space="preserve"> not </w:t>
      </w:r>
      <w:r w:rsidR="00360876">
        <w:t xml:space="preserve">clearly defined </w:t>
      </w:r>
      <w:r w:rsidR="00E62F05">
        <w:t>(</w:t>
      </w:r>
      <w:r w:rsidR="00360876">
        <w:t>does it include the maintenance buffer quarter?</w:t>
      </w:r>
      <w:r w:rsidR="00E62F05">
        <w:t>)</w:t>
      </w:r>
      <w:r>
        <w:t>. Therefore, discussion on the release timeline should really be about setting the ASN.1 freeze target, with the earlier</w:t>
      </w:r>
      <w:r w:rsidR="00360876">
        <w:t>/later</w:t>
      </w:r>
      <w:r>
        <w:t xml:space="preserve"> milestones being derive</w:t>
      </w:r>
      <w:r w:rsidR="00E62F05">
        <w:t>d from it, as summarized</w:t>
      </w:r>
      <w:r w:rsidR="00540891">
        <w:t xml:space="preserve"> in </w:t>
      </w:r>
      <w:r w:rsidR="00540891">
        <w:fldChar w:fldCharType="begin"/>
      </w:r>
      <w:r w:rsidR="00540891">
        <w:instrText xml:space="preserve"> REF _Ref125881321 \h </w:instrText>
      </w:r>
      <w:r w:rsidR="00540891">
        <w:fldChar w:fldCharType="separate"/>
      </w:r>
      <w:r w:rsidR="00540891">
        <w:t xml:space="preserve">Table </w:t>
      </w:r>
      <w:r w:rsidR="00540891">
        <w:rPr>
          <w:noProof/>
        </w:rPr>
        <w:t>1</w:t>
      </w:r>
      <w:r w:rsidR="00540891">
        <w:fldChar w:fldCharType="end"/>
      </w:r>
      <w:r w:rsidR="00E62F05">
        <w:t>.</w:t>
      </w:r>
    </w:p>
    <w:p w14:paraId="33522634" w14:textId="77777777" w:rsidR="00D458FC" w:rsidRDefault="00D458FC" w:rsidP="00D458FC"/>
    <w:p w14:paraId="5D66E8DF" w14:textId="77777777" w:rsidR="00360E52" w:rsidRDefault="00360E52" w:rsidP="00D458FC"/>
    <w:p w14:paraId="241DEECD" w14:textId="61662B66" w:rsidR="00540891" w:rsidRDefault="00540891" w:rsidP="00540891">
      <w:pPr>
        <w:pStyle w:val="Caption"/>
        <w:keepNext/>
      </w:pPr>
      <w:bookmarkStart w:id="5" w:name="_Ref125881321"/>
      <w:r>
        <w:lastRenderedPageBreak/>
        <w:t xml:space="preserve">Table </w:t>
      </w:r>
      <w:r w:rsidR="00496E86">
        <w:rPr>
          <w:noProof/>
        </w:rPr>
        <w:fldChar w:fldCharType="begin"/>
      </w:r>
      <w:r w:rsidR="00496E86">
        <w:rPr>
          <w:noProof/>
        </w:rPr>
        <w:instrText xml:space="preserve"> SEQ Table \* ARABIC </w:instrText>
      </w:r>
      <w:r w:rsidR="00496E86">
        <w:rPr>
          <w:noProof/>
        </w:rPr>
        <w:fldChar w:fldCharType="separate"/>
      </w:r>
      <w:r>
        <w:rPr>
          <w:noProof/>
        </w:rPr>
        <w:t>1</w:t>
      </w:r>
      <w:r w:rsidR="00496E86">
        <w:rPr>
          <w:noProof/>
        </w:rPr>
        <w:fldChar w:fldCharType="end"/>
      </w:r>
      <w:bookmarkEnd w:id="5"/>
      <w:r>
        <w:t xml:space="preserve"> – Usual milestones of a 3GPP release</w:t>
      </w:r>
    </w:p>
    <w:tbl>
      <w:tblPr>
        <w:tblStyle w:val="GridTable5Dark-Accent5"/>
        <w:tblW w:w="5000" w:type="pct"/>
        <w:tblLook w:val="0420" w:firstRow="1" w:lastRow="0" w:firstColumn="0" w:lastColumn="0" w:noHBand="0" w:noVBand="1"/>
      </w:tblPr>
      <w:tblGrid>
        <w:gridCol w:w="2971"/>
        <w:gridCol w:w="2695"/>
        <w:gridCol w:w="3641"/>
      </w:tblGrid>
      <w:tr w:rsidR="00E62F05" w:rsidRPr="00360876" w14:paraId="7CE1A5C0" w14:textId="2A09CF5C" w:rsidTr="00360876">
        <w:trPr>
          <w:cnfStyle w:val="100000000000" w:firstRow="1" w:lastRow="0" w:firstColumn="0" w:lastColumn="0" w:oddVBand="0" w:evenVBand="0" w:oddHBand="0" w:evenHBand="0" w:firstRowFirstColumn="0" w:firstRowLastColumn="0" w:lastRowFirstColumn="0" w:lastRowLastColumn="0"/>
          <w:trHeight w:val="352"/>
        </w:trPr>
        <w:tc>
          <w:tcPr>
            <w:tcW w:w="1596" w:type="pct"/>
            <w:hideMark/>
          </w:tcPr>
          <w:p w14:paraId="2E245B8E" w14:textId="3D09DBCC" w:rsidR="00E62F05" w:rsidRPr="00360876" w:rsidRDefault="00E62F05" w:rsidP="00360876">
            <w:pPr>
              <w:jc w:val="center"/>
              <w:rPr>
                <w:sz w:val="20"/>
              </w:rPr>
            </w:pPr>
            <w:r w:rsidRPr="00360876">
              <w:rPr>
                <w:b w:val="0"/>
                <w:bCs w:val="0"/>
                <w:sz w:val="20"/>
              </w:rPr>
              <w:t>Milestones</w:t>
            </w:r>
          </w:p>
        </w:tc>
        <w:tc>
          <w:tcPr>
            <w:tcW w:w="1448" w:type="pct"/>
            <w:hideMark/>
          </w:tcPr>
          <w:p w14:paraId="43D92808" w14:textId="2CCE76EC" w:rsidR="00E62F05" w:rsidRPr="00360876" w:rsidRDefault="00E15754" w:rsidP="00360876">
            <w:pPr>
              <w:jc w:val="center"/>
              <w:rPr>
                <w:b w:val="0"/>
                <w:sz w:val="20"/>
              </w:rPr>
            </w:pPr>
            <w:r w:rsidRPr="00360876">
              <w:rPr>
                <w:rFonts w:hint="eastAsia"/>
                <w:b w:val="0"/>
                <w:sz w:val="20"/>
              </w:rPr>
              <w:t xml:space="preserve">Usual </w:t>
            </w:r>
            <w:r w:rsidRPr="00360876">
              <w:rPr>
                <w:b w:val="0"/>
                <w:sz w:val="20"/>
              </w:rPr>
              <w:t>R</w:t>
            </w:r>
            <w:r w:rsidRPr="00360876">
              <w:rPr>
                <w:rFonts w:hint="eastAsia"/>
                <w:b w:val="0"/>
                <w:sz w:val="20"/>
              </w:rPr>
              <w:t xml:space="preserve">elease </w:t>
            </w:r>
            <w:r w:rsidRPr="00360876">
              <w:rPr>
                <w:b w:val="0"/>
                <w:sz w:val="20"/>
              </w:rPr>
              <w:t>T</w:t>
            </w:r>
            <w:r w:rsidRPr="00360876">
              <w:rPr>
                <w:rFonts w:hint="eastAsia"/>
                <w:b w:val="0"/>
                <w:sz w:val="20"/>
              </w:rPr>
              <w:t>imeline</w:t>
            </w:r>
          </w:p>
        </w:tc>
        <w:tc>
          <w:tcPr>
            <w:tcW w:w="1956" w:type="pct"/>
          </w:tcPr>
          <w:p w14:paraId="5564BBE3" w14:textId="7C096714" w:rsidR="00E62F05" w:rsidRPr="00360876" w:rsidRDefault="00E62F05" w:rsidP="00360876">
            <w:pPr>
              <w:jc w:val="center"/>
              <w:rPr>
                <w:b w:val="0"/>
                <w:bCs w:val="0"/>
                <w:sz w:val="20"/>
              </w:rPr>
            </w:pPr>
            <w:r w:rsidRPr="00360876">
              <w:rPr>
                <w:b w:val="0"/>
                <w:bCs w:val="0"/>
                <w:sz w:val="20"/>
              </w:rPr>
              <w:t>Notes</w:t>
            </w:r>
          </w:p>
        </w:tc>
      </w:tr>
      <w:tr w:rsidR="00E62F05" w:rsidRPr="00360876" w14:paraId="7CE5594D" w14:textId="1488C78A" w:rsidTr="00360876">
        <w:trPr>
          <w:cnfStyle w:val="000000100000" w:firstRow="0" w:lastRow="0" w:firstColumn="0" w:lastColumn="0" w:oddVBand="0" w:evenVBand="0" w:oddHBand="1" w:evenHBand="0" w:firstRowFirstColumn="0" w:firstRowLastColumn="0" w:lastRowFirstColumn="0" w:lastRowLastColumn="0"/>
          <w:trHeight w:val="355"/>
        </w:trPr>
        <w:tc>
          <w:tcPr>
            <w:tcW w:w="1596" w:type="pct"/>
            <w:hideMark/>
          </w:tcPr>
          <w:p w14:paraId="77A0B7B3" w14:textId="77777777" w:rsidR="00E62F05" w:rsidRPr="00360876" w:rsidRDefault="00E62F05" w:rsidP="00E62F05">
            <w:pPr>
              <w:jc w:val="left"/>
              <w:rPr>
                <w:sz w:val="20"/>
              </w:rPr>
            </w:pPr>
            <w:r w:rsidRPr="00360876">
              <w:rPr>
                <w:sz w:val="20"/>
              </w:rPr>
              <w:t>Stage-1 freeze</w:t>
            </w:r>
          </w:p>
        </w:tc>
        <w:tc>
          <w:tcPr>
            <w:tcW w:w="1448" w:type="pct"/>
            <w:hideMark/>
          </w:tcPr>
          <w:p w14:paraId="6BB43F18" w14:textId="7D0FC5BF" w:rsidR="00E62F05" w:rsidRPr="00360876" w:rsidRDefault="00E62F05" w:rsidP="00E62F05">
            <w:pPr>
              <w:jc w:val="left"/>
              <w:rPr>
                <w:sz w:val="20"/>
              </w:rPr>
            </w:pPr>
            <w:r w:rsidRPr="00360876">
              <w:rPr>
                <w:sz w:val="20"/>
              </w:rPr>
              <w:t>N – 2 years (</w:t>
            </w:r>
            <w:proofErr w:type="spellStart"/>
            <w:r w:rsidRPr="00360876">
              <w:rPr>
                <w:sz w:val="20"/>
              </w:rPr>
              <w:t>approx</w:t>
            </w:r>
            <w:proofErr w:type="spellEnd"/>
            <w:r w:rsidRPr="00360876">
              <w:rPr>
                <w:sz w:val="20"/>
              </w:rPr>
              <w:t>)</w:t>
            </w:r>
          </w:p>
        </w:tc>
        <w:tc>
          <w:tcPr>
            <w:tcW w:w="1956" w:type="pct"/>
          </w:tcPr>
          <w:p w14:paraId="5E5BA4F7" w14:textId="34ACF1D0" w:rsidR="00E62F05" w:rsidRPr="00360876" w:rsidRDefault="00E62F05" w:rsidP="00E62F05">
            <w:pPr>
              <w:jc w:val="left"/>
              <w:rPr>
                <w:sz w:val="20"/>
              </w:rPr>
            </w:pPr>
            <w:r w:rsidRPr="00360876">
              <w:rPr>
                <w:rFonts w:hint="eastAsia"/>
                <w:sz w:val="20"/>
              </w:rPr>
              <w:t>Not relevant for RAN</w:t>
            </w:r>
          </w:p>
        </w:tc>
      </w:tr>
      <w:tr w:rsidR="00E62F05" w:rsidRPr="00360876" w14:paraId="3D8D934B" w14:textId="7CD47B88" w:rsidTr="00360876">
        <w:trPr>
          <w:trHeight w:val="355"/>
        </w:trPr>
        <w:tc>
          <w:tcPr>
            <w:tcW w:w="1596" w:type="pct"/>
            <w:hideMark/>
          </w:tcPr>
          <w:p w14:paraId="059FDA3C" w14:textId="77777777" w:rsidR="00E62F05" w:rsidRPr="00360876" w:rsidRDefault="00E62F05" w:rsidP="00E62F05">
            <w:pPr>
              <w:jc w:val="left"/>
              <w:rPr>
                <w:sz w:val="20"/>
              </w:rPr>
            </w:pPr>
            <w:r w:rsidRPr="00360876">
              <w:rPr>
                <w:sz w:val="20"/>
              </w:rPr>
              <w:t>Stage-2 freeze</w:t>
            </w:r>
          </w:p>
        </w:tc>
        <w:tc>
          <w:tcPr>
            <w:tcW w:w="1448" w:type="pct"/>
            <w:hideMark/>
          </w:tcPr>
          <w:p w14:paraId="6083DBA1" w14:textId="762B3604" w:rsidR="00E62F05" w:rsidRPr="00360876" w:rsidRDefault="00E62F05" w:rsidP="00E62F05">
            <w:pPr>
              <w:jc w:val="left"/>
              <w:rPr>
                <w:sz w:val="20"/>
              </w:rPr>
            </w:pPr>
            <w:r w:rsidRPr="00360876">
              <w:rPr>
                <w:sz w:val="20"/>
              </w:rPr>
              <w:t>N – 1 year (</w:t>
            </w:r>
            <w:proofErr w:type="spellStart"/>
            <w:r w:rsidRPr="00360876">
              <w:rPr>
                <w:sz w:val="20"/>
              </w:rPr>
              <w:t>approx</w:t>
            </w:r>
            <w:proofErr w:type="spellEnd"/>
            <w:r w:rsidRPr="00360876">
              <w:rPr>
                <w:sz w:val="20"/>
              </w:rPr>
              <w:t>)</w:t>
            </w:r>
          </w:p>
        </w:tc>
        <w:tc>
          <w:tcPr>
            <w:tcW w:w="1956" w:type="pct"/>
          </w:tcPr>
          <w:p w14:paraId="7E940E82" w14:textId="7F59D77E" w:rsidR="00E62F05" w:rsidRPr="00360876" w:rsidRDefault="00E62F05" w:rsidP="00E62F05">
            <w:pPr>
              <w:jc w:val="left"/>
              <w:rPr>
                <w:sz w:val="20"/>
              </w:rPr>
            </w:pPr>
            <w:r w:rsidRPr="00360876">
              <w:rPr>
                <w:rFonts w:hint="eastAsia"/>
                <w:sz w:val="20"/>
              </w:rPr>
              <w:t>Not enforced in RAN</w:t>
            </w:r>
          </w:p>
        </w:tc>
      </w:tr>
      <w:tr w:rsidR="00E62F05" w:rsidRPr="00360876" w14:paraId="741C355B" w14:textId="10FD860B" w:rsidTr="00360876">
        <w:trPr>
          <w:cnfStyle w:val="000000100000" w:firstRow="0" w:lastRow="0" w:firstColumn="0" w:lastColumn="0" w:oddVBand="0" w:evenVBand="0" w:oddHBand="1" w:evenHBand="0" w:firstRowFirstColumn="0" w:firstRowLastColumn="0" w:lastRowFirstColumn="0" w:lastRowLastColumn="0"/>
          <w:trHeight w:val="355"/>
        </w:trPr>
        <w:tc>
          <w:tcPr>
            <w:tcW w:w="1596" w:type="pct"/>
            <w:hideMark/>
          </w:tcPr>
          <w:p w14:paraId="7B587BFC" w14:textId="77777777" w:rsidR="00E62F05" w:rsidRPr="00360876" w:rsidRDefault="00E62F05" w:rsidP="00E62F05">
            <w:pPr>
              <w:jc w:val="left"/>
              <w:rPr>
                <w:sz w:val="20"/>
              </w:rPr>
            </w:pPr>
            <w:r w:rsidRPr="00360876">
              <w:rPr>
                <w:sz w:val="20"/>
              </w:rPr>
              <w:t>Functional freeze (RAN1)</w:t>
            </w:r>
          </w:p>
        </w:tc>
        <w:tc>
          <w:tcPr>
            <w:tcW w:w="1448" w:type="pct"/>
            <w:hideMark/>
          </w:tcPr>
          <w:p w14:paraId="0C99674A" w14:textId="00F27E22" w:rsidR="00E62F05" w:rsidRPr="00360876" w:rsidRDefault="00E62F05" w:rsidP="00E62F05">
            <w:pPr>
              <w:jc w:val="left"/>
              <w:rPr>
                <w:sz w:val="20"/>
              </w:rPr>
            </w:pPr>
            <w:r w:rsidRPr="00360876">
              <w:rPr>
                <w:sz w:val="20"/>
              </w:rPr>
              <w:t>N - 6 months</w:t>
            </w:r>
          </w:p>
        </w:tc>
        <w:tc>
          <w:tcPr>
            <w:tcW w:w="1956" w:type="pct"/>
          </w:tcPr>
          <w:p w14:paraId="690C0E5D" w14:textId="1E0907CD" w:rsidR="00E62F05" w:rsidRPr="00360876" w:rsidRDefault="00E62F05" w:rsidP="00E62F05">
            <w:pPr>
              <w:jc w:val="left"/>
              <w:rPr>
                <w:sz w:val="20"/>
              </w:rPr>
            </w:pPr>
            <w:r w:rsidRPr="00360876">
              <w:rPr>
                <w:rFonts w:hint="eastAsia"/>
                <w:sz w:val="20"/>
              </w:rPr>
              <w:t>D</w:t>
            </w:r>
            <w:r w:rsidRPr="00360876">
              <w:rPr>
                <w:sz w:val="20"/>
              </w:rPr>
              <w:t>e</w:t>
            </w:r>
            <w:r w:rsidRPr="00360876">
              <w:rPr>
                <w:rFonts w:hint="eastAsia"/>
                <w:sz w:val="20"/>
              </w:rPr>
              <w:t xml:space="preserve">coupled </w:t>
            </w:r>
            <w:r w:rsidRPr="00360876">
              <w:rPr>
                <w:sz w:val="20"/>
              </w:rPr>
              <w:t>from other WGs since Rel-16</w:t>
            </w:r>
          </w:p>
        </w:tc>
      </w:tr>
      <w:tr w:rsidR="00E62F05" w:rsidRPr="00360876" w14:paraId="6F43E636" w14:textId="0E8FF2BC" w:rsidTr="00360876">
        <w:trPr>
          <w:trHeight w:val="355"/>
        </w:trPr>
        <w:tc>
          <w:tcPr>
            <w:tcW w:w="1596" w:type="pct"/>
            <w:hideMark/>
          </w:tcPr>
          <w:p w14:paraId="7937DC17" w14:textId="77777777" w:rsidR="00E62F05" w:rsidRPr="00360876" w:rsidRDefault="00E62F05" w:rsidP="00E62F05">
            <w:pPr>
              <w:jc w:val="left"/>
              <w:rPr>
                <w:sz w:val="20"/>
              </w:rPr>
            </w:pPr>
            <w:r w:rsidRPr="00360876">
              <w:rPr>
                <w:sz w:val="20"/>
              </w:rPr>
              <w:t>Functional freeze (RAN2/3/4)</w:t>
            </w:r>
          </w:p>
        </w:tc>
        <w:tc>
          <w:tcPr>
            <w:tcW w:w="1448" w:type="pct"/>
            <w:hideMark/>
          </w:tcPr>
          <w:p w14:paraId="6F035E41" w14:textId="28878D14" w:rsidR="00E62F05" w:rsidRPr="00360876" w:rsidRDefault="00E62F05" w:rsidP="00E62F05">
            <w:pPr>
              <w:jc w:val="left"/>
              <w:rPr>
                <w:sz w:val="20"/>
              </w:rPr>
            </w:pPr>
            <w:r w:rsidRPr="00360876">
              <w:rPr>
                <w:sz w:val="20"/>
              </w:rPr>
              <w:t>N - 3 months</w:t>
            </w:r>
          </w:p>
        </w:tc>
        <w:tc>
          <w:tcPr>
            <w:tcW w:w="1956" w:type="pct"/>
          </w:tcPr>
          <w:p w14:paraId="435FCDD2" w14:textId="04284F3F" w:rsidR="00E62F05" w:rsidRPr="00360876" w:rsidRDefault="00360876" w:rsidP="00360876">
            <w:pPr>
              <w:jc w:val="left"/>
              <w:rPr>
                <w:sz w:val="20"/>
              </w:rPr>
            </w:pPr>
            <w:r w:rsidRPr="00360876">
              <w:rPr>
                <w:rFonts w:hint="eastAsia"/>
                <w:sz w:val="20"/>
              </w:rPr>
              <w:t>For Rel-18</w:t>
            </w:r>
            <w:r w:rsidRPr="00360876">
              <w:rPr>
                <w:sz w:val="20"/>
              </w:rPr>
              <w:t>: N – 6 months</w:t>
            </w:r>
          </w:p>
        </w:tc>
      </w:tr>
      <w:tr w:rsidR="00E62F05" w:rsidRPr="00360876" w14:paraId="4BC516BE" w14:textId="44F9C76B" w:rsidTr="00360876">
        <w:trPr>
          <w:cnfStyle w:val="000000100000" w:firstRow="0" w:lastRow="0" w:firstColumn="0" w:lastColumn="0" w:oddVBand="0" w:evenVBand="0" w:oddHBand="1" w:evenHBand="0" w:firstRowFirstColumn="0" w:firstRowLastColumn="0" w:lastRowFirstColumn="0" w:lastRowLastColumn="0"/>
          <w:trHeight w:val="355"/>
        </w:trPr>
        <w:tc>
          <w:tcPr>
            <w:tcW w:w="1596" w:type="pct"/>
            <w:hideMark/>
          </w:tcPr>
          <w:p w14:paraId="07B8093B" w14:textId="77777777" w:rsidR="00E62F05" w:rsidRPr="00360876" w:rsidRDefault="00E62F05" w:rsidP="00E62F05">
            <w:pPr>
              <w:jc w:val="left"/>
              <w:rPr>
                <w:b/>
                <w:sz w:val="20"/>
              </w:rPr>
            </w:pPr>
            <w:r w:rsidRPr="00360876">
              <w:rPr>
                <w:b/>
                <w:sz w:val="20"/>
              </w:rPr>
              <w:t>ASN.1 freeze</w:t>
            </w:r>
          </w:p>
        </w:tc>
        <w:tc>
          <w:tcPr>
            <w:tcW w:w="1448" w:type="pct"/>
            <w:hideMark/>
          </w:tcPr>
          <w:p w14:paraId="3A46DE25" w14:textId="2DB187FA" w:rsidR="00E62F05" w:rsidRPr="00360876" w:rsidRDefault="00E62F05" w:rsidP="00E62F05">
            <w:pPr>
              <w:jc w:val="left"/>
              <w:rPr>
                <w:b/>
                <w:sz w:val="20"/>
              </w:rPr>
            </w:pPr>
            <w:r w:rsidRPr="00360876">
              <w:rPr>
                <w:b/>
                <w:sz w:val="20"/>
              </w:rPr>
              <w:t>N</w:t>
            </w:r>
            <w:r w:rsidR="00360876">
              <w:rPr>
                <w:b/>
                <w:sz w:val="20"/>
              </w:rPr>
              <w:t xml:space="preserve"> (target date)</w:t>
            </w:r>
          </w:p>
        </w:tc>
        <w:tc>
          <w:tcPr>
            <w:tcW w:w="1956" w:type="pct"/>
          </w:tcPr>
          <w:p w14:paraId="3D642146" w14:textId="50BD6B0C" w:rsidR="00E62F05" w:rsidRPr="00360876" w:rsidRDefault="00360876" w:rsidP="00E62F05">
            <w:pPr>
              <w:jc w:val="left"/>
              <w:rPr>
                <w:b/>
                <w:sz w:val="20"/>
              </w:rPr>
            </w:pPr>
            <w:r w:rsidRPr="00360876">
              <w:rPr>
                <w:rFonts w:hint="eastAsia"/>
                <w:b/>
                <w:sz w:val="20"/>
              </w:rPr>
              <w:t>Release target</w:t>
            </w:r>
          </w:p>
        </w:tc>
      </w:tr>
      <w:tr w:rsidR="00E62F05" w:rsidRPr="00360876" w14:paraId="66CAA307" w14:textId="455D4642" w:rsidTr="00360876">
        <w:trPr>
          <w:trHeight w:val="355"/>
        </w:trPr>
        <w:tc>
          <w:tcPr>
            <w:tcW w:w="1596" w:type="pct"/>
            <w:hideMark/>
          </w:tcPr>
          <w:p w14:paraId="6306670A" w14:textId="2DE40B1A" w:rsidR="00E62F05" w:rsidRPr="00360876" w:rsidRDefault="00E62F05" w:rsidP="00E62F05">
            <w:pPr>
              <w:jc w:val="left"/>
              <w:rPr>
                <w:sz w:val="20"/>
              </w:rPr>
            </w:pPr>
            <w:r w:rsidRPr="00360876">
              <w:rPr>
                <w:sz w:val="20"/>
              </w:rPr>
              <w:t>Performance Part</w:t>
            </w:r>
            <w:r w:rsidR="00360876" w:rsidRPr="00360876">
              <w:rPr>
                <w:sz w:val="20"/>
              </w:rPr>
              <w:t xml:space="preserve"> (RAN4)</w:t>
            </w:r>
          </w:p>
        </w:tc>
        <w:tc>
          <w:tcPr>
            <w:tcW w:w="1448" w:type="pct"/>
            <w:hideMark/>
          </w:tcPr>
          <w:p w14:paraId="07ABD9AE" w14:textId="47015BD7" w:rsidR="00E62F05" w:rsidRPr="00360876" w:rsidRDefault="00E62F05" w:rsidP="00E62F05">
            <w:pPr>
              <w:jc w:val="left"/>
              <w:rPr>
                <w:sz w:val="20"/>
              </w:rPr>
            </w:pPr>
            <w:r w:rsidRPr="00360876">
              <w:rPr>
                <w:sz w:val="20"/>
              </w:rPr>
              <w:t>N + 3 months</w:t>
            </w:r>
          </w:p>
        </w:tc>
        <w:tc>
          <w:tcPr>
            <w:tcW w:w="1956" w:type="pct"/>
          </w:tcPr>
          <w:p w14:paraId="265D24ED" w14:textId="1A2D18C8" w:rsidR="00E62F05" w:rsidRPr="00360876" w:rsidRDefault="00E62F05" w:rsidP="00E62F05">
            <w:pPr>
              <w:jc w:val="left"/>
              <w:rPr>
                <w:sz w:val="20"/>
              </w:rPr>
            </w:pPr>
            <w:r w:rsidRPr="00360876">
              <w:rPr>
                <w:rFonts w:hint="eastAsia"/>
                <w:sz w:val="20"/>
              </w:rPr>
              <w:t>6 months after functional freeze</w:t>
            </w:r>
          </w:p>
        </w:tc>
      </w:tr>
      <w:tr w:rsidR="00360876" w:rsidRPr="00360876" w14:paraId="4BE7CF9E" w14:textId="77777777" w:rsidTr="00360876">
        <w:trPr>
          <w:cnfStyle w:val="000000100000" w:firstRow="0" w:lastRow="0" w:firstColumn="0" w:lastColumn="0" w:oddVBand="0" w:evenVBand="0" w:oddHBand="1" w:evenHBand="0" w:firstRowFirstColumn="0" w:firstRowLastColumn="0" w:lastRowFirstColumn="0" w:lastRowLastColumn="0"/>
          <w:trHeight w:val="241"/>
        </w:trPr>
        <w:tc>
          <w:tcPr>
            <w:tcW w:w="1596" w:type="pct"/>
          </w:tcPr>
          <w:p w14:paraId="215D936A" w14:textId="208AA32A" w:rsidR="00360876" w:rsidRPr="00360876" w:rsidRDefault="00360876" w:rsidP="00E62F05">
            <w:pPr>
              <w:jc w:val="left"/>
              <w:rPr>
                <w:sz w:val="20"/>
              </w:rPr>
            </w:pPr>
            <w:r w:rsidRPr="00360876">
              <w:rPr>
                <w:rFonts w:hint="eastAsia"/>
                <w:sz w:val="20"/>
              </w:rPr>
              <w:t>Conformance Specs</w:t>
            </w:r>
            <w:r w:rsidRPr="00360876">
              <w:rPr>
                <w:sz w:val="20"/>
              </w:rPr>
              <w:t xml:space="preserve"> (RAN5)</w:t>
            </w:r>
          </w:p>
        </w:tc>
        <w:tc>
          <w:tcPr>
            <w:tcW w:w="1448" w:type="pct"/>
          </w:tcPr>
          <w:p w14:paraId="1DED0F91" w14:textId="01A23703" w:rsidR="00360876" w:rsidRPr="00360876" w:rsidRDefault="00360876" w:rsidP="00E62F05">
            <w:pPr>
              <w:jc w:val="left"/>
              <w:rPr>
                <w:sz w:val="20"/>
              </w:rPr>
            </w:pPr>
            <w:r w:rsidRPr="00360876">
              <w:rPr>
                <w:rFonts w:hint="eastAsia"/>
                <w:sz w:val="20"/>
              </w:rPr>
              <w:t>Variable</w:t>
            </w:r>
            <w:r w:rsidRPr="00360876">
              <w:rPr>
                <w:sz w:val="20"/>
              </w:rPr>
              <w:t xml:space="preserve"> per WI</w:t>
            </w:r>
          </w:p>
        </w:tc>
        <w:tc>
          <w:tcPr>
            <w:tcW w:w="1956" w:type="pct"/>
          </w:tcPr>
          <w:p w14:paraId="2A7B0126" w14:textId="77777777" w:rsidR="00360876" w:rsidRPr="00360876" w:rsidRDefault="00360876" w:rsidP="00E62F05">
            <w:pPr>
              <w:jc w:val="left"/>
              <w:rPr>
                <w:sz w:val="20"/>
              </w:rPr>
            </w:pPr>
          </w:p>
        </w:tc>
      </w:tr>
    </w:tbl>
    <w:p w14:paraId="651B8359" w14:textId="77777777" w:rsidR="00E62F05" w:rsidRPr="00D458FC" w:rsidRDefault="00E62F05" w:rsidP="00D458FC"/>
    <w:p w14:paraId="1133F972" w14:textId="1D6C1EEA" w:rsidR="00D458FC" w:rsidRDefault="00360876" w:rsidP="00641BA1">
      <w:pPr>
        <w:pStyle w:val="Heading1"/>
      </w:pPr>
      <w:r>
        <w:t xml:space="preserve">Discussion on </w:t>
      </w:r>
      <w:r w:rsidR="00D458FC">
        <w:rPr>
          <w:rFonts w:hint="eastAsia"/>
        </w:rPr>
        <w:t>Rel-19 timeline</w:t>
      </w:r>
      <w:bookmarkStart w:id="6" w:name="_GoBack"/>
      <w:bookmarkEnd w:id="6"/>
    </w:p>
    <w:p w14:paraId="57EACB9A" w14:textId="0BE6AB99" w:rsidR="00360876" w:rsidRDefault="00360876" w:rsidP="00360876">
      <w:r>
        <w:rPr>
          <w:rFonts w:hint="eastAsia"/>
        </w:rPr>
        <w:t>We should hope that the work on Rel-19 will no longer be subject to uncertainties from the C</w:t>
      </w:r>
      <w:r w:rsidR="00A368B5">
        <w:t>ovid</w:t>
      </w:r>
      <w:r>
        <w:rPr>
          <w:rFonts w:hint="eastAsia"/>
        </w:rPr>
        <w:t>-19 pandemic, thus that the original target that RAN will set for ASN.1 freeze will remain stable, and that there will be no need to plan for 6 months between</w:t>
      </w:r>
      <w:r>
        <w:t xml:space="preserve"> the </w:t>
      </w:r>
      <w:r w:rsidR="00A368B5">
        <w:t xml:space="preserve">RAN2 </w:t>
      </w:r>
      <w:r>
        <w:t xml:space="preserve">functional freeze and the ASN.1 freeze. </w:t>
      </w:r>
    </w:p>
    <w:p w14:paraId="08D3E050" w14:textId="2ED00560" w:rsidR="00A368B5" w:rsidRDefault="00A368B5" w:rsidP="00360876">
      <w:r>
        <w:rPr>
          <w:rFonts w:hint="eastAsia"/>
        </w:rPr>
        <w:t xml:space="preserve">The planning for </w:t>
      </w:r>
      <w:r>
        <w:t xml:space="preserve">Rel-19 scoping discussions and the start time of Rel-19 in RAN WGs has been approved as shown in </w:t>
      </w:r>
      <w:r>
        <w:fldChar w:fldCharType="begin"/>
      </w:r>
      <w:r>
        <w:instrText xml:space="preserve"> REF _Ref125879975 \h </w:instrText>
      </w:r>
      <w:r>
        <w:fldChar w:fldCharType="separate"/>
      </w:r>
      <w:r>
        <w:t xml:space="preserve">Figure </w:t>
      </w:r>
      <w:r>
        <w:rPr>
          <w:noProof/>
        </w:rPr>
        <w:t>2</w:t>
      </w:r>
      <w:r>
        <w:fldChar w:fldCharType="end"/>
      </w:r>
      <w:r>
        <w:t>.</w:t>
      </w:r>
    </w:p>
    <w:p w14:paraId="590085BE" w14:textId="77777777" w:rsidR="00A368B5" w:rsidRDefault="00A368B5" w:rsidP="00360876"/>
    <w:p w14:paraId="0B42B5A5" w14:textId="77777777" w:rsidR="00A368B5" w:rsidRDefault="00A368B5" w:rsidP="00A368B5">
      <w:pPr>
        <w:keepNext/>
        <w:jc w:val="center"/>
      </w:pPr>
      <w:r>
        <w:rPr>
          <w:noProof/>
          <w:lang w:eastAsia="zh-CN"/>
        </w:rPr>
        <w:drawing>
          <wp:inline distT="0" distB="0" distL="0" distR="0" wp14:anchorId="3800094B" wp14:editId="708BF1CE">
            <wp:extent cx="5853838" cy="23203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4606" cy="2344487"/>
                    </a:xfrm>
                    <a:prstGeom prst="rect">
                      <a:avLst/>
                    </a:prstGeom>
                    <a:noFill/>
                  </pic:spPr>
                </pic:pic>
              </a:graphicData>
            </a:graphic>
          </wp:inline>
        </w:drawing>
      </w:r>
    </w:p>
    <w:p w14:paraId="0417B70C" w14:textId="3879D4E1" w:rsidR="00A368B5" w:rsidRDefault="00A368B5" w:rsidP="00A368B5">
      <w:pPr>
        <w:pStyle w:val="Caption"/>
      </w:pPr>
      <w:bookmarkStart w:id="7" w:name="_Ref125879975"/>
      <w:r>
        <w:t xml:space="preserve">Figure </w:t>
      </w:r>
      <w:r w:rsidR="00496E86">
        <w:rPr>
          <w:noProof/>
        </w:rPr>
        <w:fldChar w:fldCharType="begin"/>
      </w:r>
      <w:r w:rsidR="00496E86">
        <w:rPr>
          <w:noProof/>
        </w:rPr>
        <w:instrText xml:space="preserve"> SEQ Figure \* ARABIC </w:instrText>
      </w:r>
      <w:r w:rsidR="00496E86">
        <w:rPr>
          <w:noProof/>
        </w:rPr>
        <w:fldChar w:fldCharType="separate"/>
      </w:r>
      <w:r>
        <w:rPr>
          <w:noProof/>
        </w:rPr>
        <w:t>2</w:t>
      </w:r>
      <w:r w:rsidR="00496E86">
        <w:rPr>
          <w:noProof/>
        </w:rPr>
        <w:fldChar w:fldCharType="end"/>
      </w:r>
      <w:bookmarkEnd w:id="7"/>
      <w:r>
        <w:t xml:space="preserve"> – Start </w:t>
      </w:r>
      <w:r w:rsidR="00540891">
        <w:t xml:space="preserve">time </w:t>
      </w:r>
      <w:r>
        <w:t xml:space="preserve">of Release 19 </w:t>
      </w:r>
      <w:r w:rsidR="000A1B4B">
        <w:fldChar w:fldCharType="begin"/>
      </w:r>
      <w:r w:rsidR="000A1B4B">
        <w:instrText xml:space="preserve"> REF _Ref126142838 \r \h </w:instrText>
      </w:r>
      <w:r w:rsidR="000A1B4B">
        <w:fldChar w:fldCharType="separate"/>
      </w:r>
      <w:r w:rsidR="000A1B4B">
        <w:t>[2]</w:t>
      </w:r>
      <w:r w:rsidR="000A1B4B">
        <w:fldChar w:fldCharType="end"/>
      </w:r>
    </w:p>
    <w:p w14:paraId="43510958" w14:textId="77777777" w:rsidR="00A368B5" w:rsidRDefault="00A368B5" w:rsidP="00360876"/>
    <w:p w14:paraId="6277E924" w14:textId="3F5652F4" w:rsidR="00540891" w:rsidRDefault="00A368B5" w:rsidP="00360876">
      <w:r>
        <w:t>R</w:t>
      </w:r>
      <w:r>
        <w:rPr>
          <w:rFonts w:hint="eastAsia"/>
        </w:rPr>
        <w:t>el</w:t>
      </w:r>
      <w:r w:rsidR="00540891">
        <w:t>-</w:t>
      </w:r>
      <w:r>
        <w:t>19 is the s</w:t>
      </w:r>
      <w:r w:rsidR="005E5371">
        <w:t xml:space="preserve">econd release of 5G-Advanced. For several key areas of 5G-Advanced, Rel-18 and Rel-19 form a package where studies are performed in Rel-18 and normative work follows in Rel-19. These areas are of significant novelty and will thus require a significant amount of work on the specifications. These include </w:t>
      </w:r>
      <w:r w:rsidR="00540891">
        <w:t xml:space="preserve">Ambient IoT, </w:t>
      </w:r>
      <w:r w:rsidR="005E5371">
        <w:t xml:space="preserve">AI/ML, </w:t>
      </w:r>
      <w:r w:rsidR="00540891">
        <w:t>D</w:t>
      </w:r>
      <w:r w:rsidR="005E5371">
        <w:t xml:space="preserve">uplexing </w:t>
      </w:r>
      <w:r w:rsidR="00540891">
        <w:t>E</w:t>
      </w:r>
      <w:r w:rsidR="005E5371">
        <w:t xml:space="preserve">volution, Low Power WUS, Network Energy Savings. At the same time, new areas will </w:t>
      </w:r>
      <w:r w:rsidR="005755E3">
        <w:t xml:space="preserve">start </w:t>
      </w:r>
      <w:r w:rsidR="005E5371">
        <w:t>find</w:t>
      </w:r>
      <w:r w:rsidR="005755E3">
        <w:t>ing</w:t>
      </w:r>
      <w:r w:rsidR="005E5371">
        <w:t xml:space="preserve"> their way </w:t>
      </w:r>
      <w:r w:rsidR="005755E3">
        <w:t>in</w:t>
      </w:r>
      <w:r w:rsidR="005E5371">
        <w:t>to RAN, such as Integrated Communications and Sensing</w:t>
      </w:r>
      <w:r w:rsidR="005755E3">
        <w:t>,</w:t>
      </w:r>
      <w:r w:rsidR="005E5371">
        <w:t xml:space="preserve"> for which studies are on-going in SA. We foresee more work still to expand the penetration of high-data</w:t>
      </w:r>
      <w:r w:rsidR="00540891">
        <w:t>-</w:t>
      </w:r>
      <w:r w:rsidR="005E5371">
        <w:t xml:space="preserve">rate applications based on XR, </w:t>
      </w:r>
      <w:r w:rsidR="00540891">
        <w:t xml:space="preserve">as well as </w:t>
      </w:r>
      <w:r w:rsidR="005E5371">
        <w:t xml:space="preserve">further efficiency improvement </w:t>
      </w:r>
      <w:r w:rsidR="005755E3">
        <w:t>with</w:t>
      </w:r>
      <w:r w:rsidR="005E5371">
        <w:t xml:space="preserve"> MIMO for both FR1 and FR2, and other areas that are to be discussed as part of the scoping discussions.</w:t>
      </w:r>
    </w:p>
    <w:p w14:paraId="0F8F706E" w14:textId="2D37E8A4" w:rsidR="00A368B5" w:rsidRDefault="005E5371" w:rsidP="00360876">
      <w:r>
        <w:t xml:space="preserve">Clearly Rel-19 </w:t>
      </w:r>
      <w:r w:rsidR="005755E3">
        <w:t>will be</w:t>
      </w:r>
      <w:r>
        <w:t xml:space="preserve"> a significant release to fulfill the promise of 5G-Advanced, a</w:t>
      </w:r>
      <w:r w:rsidR="005755E3">
        <w:t>nd</w:t>
      </w:r>
      <w:r>
        <w:t xml:space="preserve"> will require at least 18 months of core work in each RAN WG. This means, for RAN2, core work for Rel-19 will span from March 2024 to </w:t>
      </w:r>
      <w:r w:rsidR="005755E3">
        <w:t>September 2025, leading to a target ASN.1 freeze in December 2025.</w:t>
      </w:r>
    </w:p>
    <w:p w14:paraId="76134C6C" w14:textId="77777777" w:rsidR="00360E52" w:rsidRPr="00360876" w:rsidRDefault="00360E52" w:rsidP="00360876"/>
    <w:p w14:paraId="11F546F6" w14:textId="3E7785A9" w:rsidR="00D458FC" w:rsidRPr="00D458FC" w:rsidRDefault="00D458FC" w:rsidP="00D458FC">
      <w:pPr>
        <w:pStyle w:val="Heading1"/>
      </w:pPr>
      <w:r>
        <w:rPr>
          <w:rFonts w:hint="eastAsia"/>
        </w:rPr>
        <w:lastRenderedPageBreak/>
        <w:t>Conclusion</w:t>
      </w:r>
    </w:p>
    <w:p w14:paraId="7EEDE71A" w14:textId="565479D8" w:rsidR="005F3E58" w:rsidRDefault="005755E3" w:rsidP="0034068D">
      <w:r>
        <w:rPr>
          <w:rFonts w:hint="eastAsia"/>
        </w:rPr>
        <w:t xml:space="preserve">We have discussed </w:t>
      </w:r>
      <w:r w:rsidR="00360E52">
        <w:t>the significance of Rel-19 and the foreseen duration of the core work needed to fulfill the promise of the second release of 5G-Advanced, and propose that Rel-19 ASN.1 freeze be in Dec 2025.</w:t>
      </w:r>
    </w:p>
    <w:p w14:paraId="451C9F2D" w14:textId="6F54587E" w:rsidR="00360E52" w:rsidRDefault="00360E52" w:rsidP="00360E52">
      <w:pPr>
        <w:rPr>
          <w:b/>
          <w:i/>
        </w:rPr>
      </w:pPr>
      <w:r w:rsidRPr="005755E3">
        <w:rPr>
          <w:b/>
          <w:i/>
        </w:rPr>
        <w:t xml:space="preserve">Proposal: </w:t>
      </w:r>
      <w:r>
        <w:rPr>
          <w:b/>
          <w:i/>
        </w:rPr>
        <w:t xml:space="preserve">Set the </w:t>
      </w:r>
      <w:r w:rsidRPr="005755E3">
        <w:rPr>
          <w:b/>
          <w:i/>
        </w:rPr>
        <w:t xml:space="preserve">Rel-19 ASN.1 freeze </w:t>
      </w:r>
      <w:r w:rsidR="000A1B4B">
        <w:rPr>
          <w:b/>
          <w:i/>
        </w:rPr>
        <w:t xml:space="preserve">target date </w:t>
      </w:r>
      <w:r>
        <w:rPr>
          <w:b/>
          <w:i/>
        </w:rPr>
        <w:t>as</w:t>
      </w:r>
      <w:r w:rsidRPr="005755E3">
        <w:rPr>
          <w:b/>
          <w:i/>
        </w:rPr>
        <w:t xml:space="preserve"> December 2025.</w:t>
      </w:r>
    </w:p>
    <w:p w14:paraId="154F47E8" w14:textId="5787B2E4" w:rsidR="00540891" w:rsidRPr="00540891" w:rsidRDefault="00540891" w:rsidP="00540891">
      <w:pPr>
        <w:pStyle w:val="ListParagraph"/>
        <w:numPr>
          <w:ilvl w:val="0"/>
          <w:numId w:val="29"/>
        </w:numPr>
        <w:ind w:firstLineChars="0"/>
        <w:rPr>
          <w:b/>
          <w:i/>
        </w:rPr>
      </w:pPr>
      <w:r>
        <w:rPr>
          <w:rFonts w:hint="eastAsia"/>
          <w:b/>
          <w:i/>
        </w:rPr>
        <w:t xml:space="preserve">Note: this assumes 18 months of core </w:t>
      </w:r>
      <w:r>
        <w:rPr>
          <w:b/>
          <w:i/>
        </w:rPr>
        <w:t>study/</w:t>
      </w:r>
      <w:r>
        <w:rPr>
          <w:rFonts w:hint="eastAsia"/>
          <w:b/>
          <w:i/>
        </w:rPr>
        <w:t xml:space="preserve">work in each WG, </w:t>
      </w:r>
      <w:r>
        <w:rPr>
          <w:b/>
          <w:i/>
        </w:rPr>
        <w:t>i.e.</w:t>
      </w:r>
      <w:r>
        <w:rPr>
          <w:rFonts w:hint="eastAsia"/>
          <w:b/>
          <w:i/>
        </w:rPr>
        <w:t xml:space="preserve"> </w:t>
      </w:r>
      <w:r>
        <w:rPr>
          <w:b/>
          <w:i/>
        </w:rPr>
        <w:t xml:space="preserve">from </w:t>
      </w:r>
      <w:r w:rsidRPr="00540891">
        <w:rPr>
          <w:b/>
          <w:i/>
        </w:rPr>
        <w:t>March 2024 to September 2025</w:t>
      </w:r>
      <w:r>
        <w:rPr>
          <w:b/>
          <w:i/>
        </w:rPr>
        <w:t xml:space="preserve"> for RAN2/3/4, and from January</w:t>
      </w:r>
      <w:r w:rsidRPr="00540891">
        <w:rPr>
          <w:b/>
          <w:i/>
        </w:rPr>
        <w:t xml:space="preserve"> 2024 to </w:t>
      </w:r>
      <w:r>
        <w:rPr>
          <w:b/>
          <w:i/>
        </w:rPr>
        <w:t>June</w:t>
      </w:r>
      <w:r w:rsidRPr="00540891">
        <w:rPr>
          <w:b/>
          <w:i/>
        </w:rPr>
        <w:t xml:space="preserve"> 2025</w:t>
      </w:r>
      <w:r>
        <w:rPr>
          <w:b/>
          <w:i/>
        </w:rPr>
        <w:t xml:space="preserve"> for RAN1.</w:t>
      </w:r>
    </w:p>
    <w:p w14:paraId="319903A3" w14:textId="77777777" w:rsidR="00477C0D" w:rsidRDefault="00477C0D" w:rsidP="0034068D"/>
    <w:p w14:paraId="7E7FEB5A" w14:textId="77777777" w:rsidR="00222B7B" w:rsidRPr="008D6886" w:rsidRDefault="00222B7B" w:rsidP="00222B7B">
      <w:pPr>
        <w:pStyle w:val="Heading1"/>
        <w:numPr>
          <w:ilvl w:val="0"/>
          <w:numId w:val="0"/>
        </w:numPr>
        <w:ind w:left="432" w:hanging="432"/>
      </w:pPr>
      <w:r w:rsidRPr="008D6886">
        <w:t>References</w:t>
      </w:r>
    </w:p>
    <w:p w14:paraId="0C74C892" w14:textId="07D4F8F7" w:rsidR="00222B7B" w:rsidRDefault="005755E3" w:rsidP="005755E3">
      <w:pPr>
        <w:pStyle w:val="References"/>
        <w:rPr>
          <w:lang w:val="fr-FR"/>
        </w:rPr>
      </w:pPr>
      <w:bookmarkStart w:id="8" w:name="_Ref126142807"/>
      <w:bookmarkStart w:id="9" w:name="OLE_LINK18"/>
      <w:bookmarkStart w:id="10" w:name="_Ref82276554"/>
      <w:bookmarkStart w:id="11" w:name="_Ref70263630"/>
      <w:bookmarkStart w:id="12" w:name="_Ref112778137"/>
      <w:r w:rsidRPr="005755E3">
        <w:rPr>
          <w:lang w:val="fr-FR" w:eastAsia="zh-CN"/>
        </w:rPr>
        <w:t>RP-223528</w:t>
      </w:r>
      <w:r w:rsidR="00222B7B" w:rsidRPr="005755E3">
        <w:rPr>
          <w:lang w:val="fr-FR" w:eastAsia="zh-CN"/>
        </w:rPr>
        <w:t xml:space="preserve">, </w:t>
      </w:r>
      <w:r w:rsidRPr="005755E3">
        <w:rPr>
          <w:lang w:val="fr-FR" w:eastAsia="zh-CN"/>
        </w:rPr>
        <w:t>3GPP SA, RAN, CT Rel-18 Timeline</w:t>
      </w:r>
      <w:r>
        <w:rPr>
          <w:lang w:val="fr-FR" w:eastAsia="zh-CN"/>
        </w:rPr>
        <w:t>, TSG Chairs.</w:t>
      </w:r>
      <w:bookmarkEnd w:id="8"/>
    </w:p>
    <w:p w14:paraId="1B6B8B8A" w14:textId="7045F61D" w:rsidR="005755E3" w:rsidRDefault="005755E3" w:rsidP="005755E3">
      <w:pPr>
        <w:pStyle w:val="References"/>
      </w:pPr>
      <w:bookmarkStart w:id="13" w:name="_Ref126142838"/>
      <w:r w:rsidRPr="005755E3">
        <w:t>RP-222730, RAN Planning, RAN Chair, RAN1 Chair, RAN2 Chair, RAN3 Chair, RAN4 Chair, RAN5 Chair</w:t>
      </w:r>
      <w:bookmarkEnd w:id="2"/>
      <w:bookmarkEnd w:id="9"/>
      <w:bookmarkEnd w:id="10"/>
      <w:bookmarkEnd w:id="11"/>
      <w:bookmarkEnd w:id="12"/>
      <w:bookmarkEnd w:id="13"/>
    </w:p>
    <w:p w14:paraId="15CE0D4D" w14:textId="71AEAC3A" w:rsidR="00AB5AF3" w:rsidRPr="005755E3" w:rsidRDefault="00AB5AF3" w:rsidP="00CC018E">
      <w:pPr>
        <w:pStyle w:val="References"/>
        <w:numPr>
          <w:ilvl w:val="0"/>
          <w:numId w:val="0"/>
        </w:numPr>
      </w:pPr>
    </w:p>
    <w:sectPr w:rsidR="00AB5AF3" w:rsidRPr="005755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1AB8B" w14:textId="77777777" w:rsidR="00435347" w:rsidRDefault="00435347">
      <w:r>
        <w:separator/>
      </w:r>
    </w:p>
  </w:endnote>
  <w:endnote w:type="continuationSeparator" w:id="0">
    <w:p w14:paraId="35C7DD0C" w14:textId="77777777" w:rsidR="00435347" w:rsidRDefault="00435347">
      <w:r>
        <w:continuationSeparator/>
      </w:r>
    </w:p>
  </w:endnote>
  <w:endnote w:type="continuationNotice" w:id="1">
    <w:p w14:paraId="4493C68E" w14:textId="77777777" w:rsidR="00435347" w:rsidRDefault="0043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3AE95" w14:textId="77777777" w:rsidR="00435347" w:rsidRDefault="00435347">
      <w:r>
        <w:separator/>
      </w:r>
    </w:p>
  </w:footnote>
  <w:footnote w:type="continuationSeparator" w:id="0">
    <w:p w14:paraId="41998E20" w14:textId="77777777" w:rsidR="00435347" w:rsidRDefault="00435347">
      <w:r>
        <w:continuationSeparator/>
      </w:r>
    </w:p>
  </w:footnote>
  <w:footnote w:type="continuationNotice" w:id="1">
    <w:p w14:paraId="621E225F" w14:textId="77777777" w:rsidR="00435347" w:rsidRDefault="0043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6"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C73098"/>
    <w:multiLevelType w:val="hybridMultilevel"/>
    <w:tmpl w:val="C6D68008"/>
    <w:lvl w:ilvl="0" w:tplc="760C233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6E184DB0"/>
    <w:multiLevelType w:val="hybridMultilevel"/>
    <w:tmpl w:val="C0340BBA"/>
    <w:lvl w:ilvl="0" w:tplc="0868EC2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9"/>
  </w:num>
  <w:num w:numId="3">
    <w:abstractNumId w:val="16"/>
  </w:num>
  <w:num w:numId="4">
    <w:abstractNumId w:val="13"/>
  </w:num>
  <w:num w:numId="5">
    <w:abstractNumId w:val="22"/>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1"/>
  </w:num>
  <w:num w:numId="9">
    <w:abstractNumId w:val="2"/>
  </w:num>
  <w:num w:numId="10">
    <w:abstractNumId w:val="9"/>
  </w:num>
  <w:num w:numId="11">
    <w:abstractNumId w:val="9"/>
  </w:num>
  <w:num w:numId="12">
    <w:abstractNumId w:val="9"/>
  </w:num>
  <w:num w:numId="13">
    <w:abstractNumId w:val="17"/>
  </w:num>
  <w:num w:numId="14">
    <w:abstractNumId w:val="0"/>
  </w:num>
  <w:num w:numId="15">
    <w:abstractNumId w:val="7"/>
  </w:num>
  <w:num w:numId="16">
    <w:abstractNumId w:val="8"/>
  </w:num>
  <w:num w:numId="17">
    <w:abstractNumId w:val="14"/>
  </w:num>
  <w:num w:numId="18">
    <w:abstractNumId w:val="1"/>
  </w:num>
  <w:num w:numId="19">
    <w:abstractNumId w:val="15"/>
  </w:num>
  <w:num w:numId="20">
    <w:abstractNumId w:val="20"/>
  </w:num>
  <w:num w:numId="21">
    <w:abstractNumId w:val="18"/>
  </w:num>
  <w:num w:numId="22">
    <w:abstractNumId w:val="3"/>
  </w:num>
  <w:num w:numId="23">
    <w:abstractNumId w:val="19"/>
  </w:num>
  <w:num w:numId="24">
    <w:abstractNumId w:val="11"/>
  </w:num>
  <w:num w:numId="25">
    <w:abstractNumId w:val="10"/>
    <w:lvlOverride w:ilvl="0">
      <w:startOverride w:val="1"/>
    </w:lvlOverride>
    <w:lvlOverride w:ilvl="1"/>
    <w:lvlOverride w:ilvl="2"/>
    <w:lvlOverride w:ilvl="3"/>
    <w:lvlOverride w:ilvl="4"/>
    <w:lvlOverride w:ilvl="5"/>
    <w:lvlOverride w:ilvl="6"/>
    <w:lvlOverride w:ilvl="7"/>
    <w:lvlOverride w:ilvl="8"/>
  </w:num>
  <w:num w:numId="26">
    <w:abstractNumId w:val="9"/>
  </w:num>
  <w:num w:numId="27">
    <w:abstractNumId w:val="10"/>
  </w:num>
  <w:num w:numId="28">
    <w:abstractNumId w:val="6"/>
  </w:num>
  <w:num w:numId="2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347"/>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264"/>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A16"/>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13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CEF3A-C58F-4BB9-942E-5A77FAA2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David mazzarese</cp:lastModifiedBy>
  <cp:revision>5</cp:revision>
  <cp:lastPrinted>2018-12-18T01:25:00Z</cp:lastPrinted>
  <dcterms:created xsi:type="dcterms:W3CDTF">2023-02-09T06:25:00Z</dcterms:created>
  <dcterms:modified xsi:type="dcterms:W3CDTF">2023-03-13T13:05:00Z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(3)JylEcCNDlG9O4EgNgiO6LVQEiU6puG+Pip6pkhDFodwFbpD11b4B0yG9R8EHupPKVQHelPYn
IvVYi/K8GQkbKX/9hV1TD8P+9XY0Zf1TSXx62rFxZD9zgYgxPXFGRA+ehYTGMM1CzMMrvn0S
/Pz4ZhPX9fESMkizMPqPzFmle5mWx1hveUaYFIcK9poohHq4+X5qOpeLaZpfncC/BvMqDTo2
wFhnP+ZonNKtu4PnwG</vt:lpwstr>
  </property>
  <property fmtid="{D5CDD505-2E9C-101B-9397-08002B2CF9AE}" pid="13" name="_2015_ms_pID_725343_00">
    <vt:lpwstr>_2015_ms_pID_725343</vt:lpwstr>
  </property>
  <property fmtid="{D5CDD505-2E9C-101B-9397-08002B2CF9AE}" pid="14" name="_2015_ms_pID_7253431">
    <vt:lpwstr>2HxAgI/qbel1sn6jVH0yfIYkSKvUR7JzQTzGRu5C81BtsK7/svhX/F
0wZoH/72hne+SWzpQSuT0L2P3Gd2YYucF+xjFix1TMpdJAQB1k+uMR2mNNFMT5KkYsr4Q/J8
Wxa7DySB83m5exOYEB2tUQ49Ql2Vn6MoxitP/hoQPk5OwPxKSUQ9k45g4ua8aGXKbDqHSpd8
5yjOaD9RKFBqx2FOivsUucDz5YM+nP9p5VPH</vt:lpwstr>
  </property>
  <property fmtid="{D5CDD505-2E9C-101B-9397-08002B2CF9AE}" pid="15" name="_2015_ms_pID_7253431_00">
    <vt:lpwstr>_2015_ms_pID_7253431</vt:lpwstr>
  </property>
  <property fmtid="{D5CDD505-2E9C-101B-9397-08002B2CF9AE}" pid="16" name="_2015_ms_pID_7253432">
    <vt:lpwstr>3ZB2SOKCgxLNDEfXyca+b4IRSuCz33Wck8tX
yvL2cO8QCSegYZ3qgLPIMP6LBNrrLg==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1661744323</vt:lpwstr>
  </property>
</Properties>
</file>